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center"/>
      </w:pPr>
      <w:r>
        <w:rPr>
          <w:b/>
          <w:color w:val="1F3A56"/>
          <w:sz w:val="36"/>
        </w:rPr>
        <w:t>Дневник СМЭР — Протокол когнитивного мониторинга</w:t>
      </w:r>
    </w:p>
    <w:p>
      <w:pPr>
        <w:spacing w:after="360"/>
        <w:jc w:val="center"/>
      </w:pPr>
      <w:r>
        <w:rPr>
          <w:i/>
          <w:color w:val="5A6B7C"/>
          <w:sz w:val="21"/>
        </w:rPr>
        <w:t>Инструмент для выявления, анализа и реструктуризации автоматических мыслей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964"/>
        <w:gridCol w:w="2964"/>
        <w:gridCol w:w="2964"/>
        <w:gridCol w:w="2964"/>
        <w:gridCol w:w="2964"/>
      </w:tblGrid>
      <w:tr>
        <w:tc>
          <w:tcPr>
            <w:tcW w:type="dxa" w:w="3600"/>
            <w:shd w:val="clear" w:color="auto" w:fill="1F3A56"/>
            <w:tcMar>
              <w:top w:w="180" w:type="dxa"/>
              <w:bottom w:w="180" w:type="dxa"/>
              <w:left w:w="120" w:type="dxa"/>
              <w:right w:w="120" w:type="dxa"/>
            </w:tcMar>
            <w:vMerge w:val="restart"/>
            <w:tcBorders>
              <w:top w:val="single" w:sz="6" w:space="0" w:color="142637"/>
              <w:left w:val="single" w:sz="6" w:space="0" w:color="142637"/>
              <w:bottom w:val="single" w:sz="6" w:space="0" w:color="142637"/>
              <w:right w:val="single" w:sz="6" w:space="0" w:color="142637"/>
            </w:tcBorders>
          </w:tcPr>
          <w:p>
            <w:pPr>
              <w:jc w:val="center"/>
            </w:pPr>
            <w:r>
              <w:rPr>
                <w:b/>
                <w:color w:val="FFFFFF"/>
                <w:sz w:val="24"/>
              </w:rPr>
              <w:t>С (ситуация)</w:t>
            </w:r>
          </w:p>
        </w:tc>
        <w:tc>
          <w:tcPr>
            <w:tcW w:type="dxa" w:w="3888"/>
            <w:shd w:val="clear" w:color="auto" w:fill="1F3A56"/>
            <w:tcMar>
              <w:top w:w="180" w:type="dxa"/>
              <w:bottom w:w="180" w:type="dxa"/>
              <w:left w:w="120" w:type="dxa"/>
              <w:right w:w="120" w:type="dxa"/>
            </w:tcMar>
            <w:vMerge w:val="restart"/>
            <w:tcBorders>
              <w:top w:val="single" w:sz="6" w:space="0" w:color="142637"/>
              <w:left w:val="single" w:sz="6" w:space="0" w:color="142637"/>
              <w:bottom w:val="single" w:sz="6" w:space="0" w:color="142637"/>
              <w:right w:val="single" w:sz="6" w:space="0" w:color="142637"/>
            </w:tcBorders>
          </w:tcPr>
          <w:p>
            <w:pPr>
              <w:jc w:val="center"/>
            </w:pPr>
            <w:r>
              <w:rPr>
                <w:b/>
                <w:color w:val="FFFFFF"/>
                <w:sz w:val="24"/>
              </w:rPr>
              <w:t>М (мысль)</w:t>
            </w:r>
          </w:p>
        </w:tc>
        <w:tc>
          <w:tcPr>
            <w:tcW w:type="dxa" w:w="2592"/>
            <w:shd w:val="clear" w:color="auto" w:fill="1F3A56"/>
            <w:tcMar>
              <w:top w:w="180" w:type="dxa"/>
              <w:bottom w:w="180" w:type="dxa"/>
              <w:left w:w="120" w:type="dxa"/>
              <w:right w:w="120" w:type="dxa"/>
            </w:tcMar>
            <w:vMerge w:val="restart"/>
            <w:tcBorders>
              <w:top w:val="single" w:sz="6" w:space="0" w:color="142637"/>
              <w:left w:val="single" w:sz="6" w:space="0" w:color="142637"/>
              <w:bottom w:val="single" w:sz="6" w:space="0" w:color="142637"/>
              <w:right w:val="single" w:sz="6" w:space="0" w:color="142637"/>
            </w:tcBorders>
          </w:tcPr>
          <w:p>
            <w:pPr>
              <w:jc w:val="center"/>
            </w:pPr>
            <w:r>
              <w:rPr>
                <w:b/>
                <w:color w:val="FFFFFF"/>
                <w:sz w:val="24"/>
              </w:rPr>
              <w:t>Э (эмоции)</w:t>
            </w:r>
          </w:p>
        </w:tc>
        <w:tc>
          <w:tcPr>
            <w:tcW w:type="dxa" w:w="2304"/>
            <w:gridSpan w:val="2"/>
            <w:shd w:val="clear" w:color="auto" w:fill="1F3A56"/>
            <w:tcMar>
              <w:top w:w="180" w:type="dxa"/>
              <w:bottom w:w="180" w:type="dxa"/>
              <w:left w:w="120" w:type="dxa"/>
              <w:right w:w="120" w:type="dxa"/>
            </w:tcMar>
            <w:tcBorders>
              <w:top w:val="single" w:sz="6" w:space="0" w:color="142637"/>
              <w:left w:val="single" w:sz="6" w:space="0" w:color="142637"/>
              <w:bottom w:val="single" w:sz="6" w:space="0" w:color="142637"/>
              <w:right w:val="single" w:sz="6" w:space="0" w:color="142637"/>
            </w:tcBorders>
          </w:tcPr>
          <w:p>
            <w:pPr>
              <w:jc w:val="center"/>
            </w:pPr>
            <w:r>
              <w:rPr>
                <w:b/>
                <w:color w:val="FFFFFF"/>
                <w:sz w:val="24"/>
              </w:rPr>
              <w:t>Р (реакции)</w:t>
            </w:r>
          </w:p>
        </w:tc>
      </w:tr>
      <w:tr>
        <w:tc>
          <w:tcPr>
            <w:tcW w:type="dxa" w:w="2964"/>
            <w:vMerge/>
          </w:tcPr>
          <w:p/>
        </w:tc>
        <w:tc>
          <w:tcPr>
            <w:tcW w:type="dxa" w:w="2964"/>
            <w:vMerge/>
          </w:tcPr>
          <w:p/>
        </w:tc>
        <w:tc>
          <w:tcPr>
            <w:tcW w:type="dxa" w:w="2964"/>
            <w:vMerge/>
          </w:tcPr>
          <w:p/>
        </w:tc>
        <w:tc>
          <w:tcPr>
            <w:tcW w:type="dxa" w:w="2304"/>
            <w:shd w:val="clear" w:color="auto" w:fill="2C4A6F"/>
            <w:tcMar>
              <w:top w:w="120" w:type="dxa"/>
              <w:bottom w:w="120" w:type="dxa"/>
              <w:left w:w="100" w:type="dxa"/>
              <w:right w:w="100" w:type="dxa"/>
            </w:tcMar>
            <w:tcBorders>
              <w:top w:val="single" w:sz="4" w:space="0" w:color="142637"/>
              <w:left w:val="single" w:sz="4" w:space="0" w:color="142637"/>
              <w:bottom w:val="single" w:sz="4" w:space="0" w:color="142637"/>
              <w:right w:val="single" w:sz="4" w:space="0" w:color="142637"/>
            </w:tcBorders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Тело</w:t>
            </w:r>
          </w:p>
        </w:tc>
        <w:tc>
          <w:tcPr>
            <w:tcW w:type="dxa" w:w="2304"/>
            <w:shd w:val="clear" w:color="auto" w:fill="2C4A6F"/>
            <w:tcMar>
              <w:top w:w="120" w:type="dxa"/>
              <w:bottom w:w="120" w:type="dxa"/>
              <w:left w:w="100" w:type="dxa"/>
              <w:right w:w="100" w:type="dxa"/>
            </w:tcMar>
            <w:tcBorders>
              <w:top w:val="single" w:sz="4" w:space="0" w:color="142637"/>
              <w:left w:val="single" w:sz="4" w:space="0" w:color="142637"/>
              <w:bottom w:val="single" w:sz="4" w:space="0" w:color="142637"/>
              <w:right w:val="single" w:sz="4" w:space="0" w:color="142637"/>
            </w:tcBorders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Поведение</w:t>
            </w:r>
          </w:p>
        </w:tc>
      </w:tr>
      <w:tr>
        <w:tc>
          <w:tcPr>
            <w:tcW w:type="dxa" w:w="3600"/>
            <w:tcMar>
              <w:top w:w="700" w:type="dxa"/>
              <w:bottom w:w="700" w:type="dxa"/>
              <w:left w:w="140" w:type="dxa"/>
              <w:right w:w="140" w:type="dxa"/>
            </w:tcMar>
            <w:tcBorders>
              <w:top w:val="single" w:sz="4" w:space="0" w:color="D1D8E0"/>
              <w:left w:val="single" w:sz="4" w:space="0" w:color="D1D8E0"/>
              <w:bottom w:val="single" w:sz="4" w:space="0" w:color="D1D8E0"/>
              <w:right w:val="single" w:sz="4" w:space="0" w:color="D1D8E0"/>
            </w:tcBorders>
          </w:tcPr>
          <w:p>
            <w:r>
              <w:rPr>
                <w:b/>
                <w:color w:val="1F3A56"/>
              </w:rPr>
              <w:t xml:space="preserve">1. </w:t>
            </w:r>
          </w:p>
        </w:tc>
        <w:tc>
          <w:tcPr>
            <w:tcW w:type="dxa" w:w="3888"/>
            <w:tcMar>
              <w:top w:w="700" w:type="dxa"/>
              <w:bottom w:w="700" w:type="dxa"/>
              <w:left w:w="140" w:type="dxa"/>
              <w:right w:w="140" w:type="dxa"/>
            </w:tcMar>
            <w:tcBorders>
              <w:top w:val="single" w:sz="4" w:space="0" w:color="D1D8E0"/>
              <w:left w:val="single" w:sz="4" w:space="0" w:color="D1D8E0"/>
              <w:bottom w:val="single" w:sz="4" w:space="0" w:color="D1D8E0"/>
              <w:right w:val="single" w:sz="4" w:space="0" w:color="D1D8E0"/>
            </w:tcBorders>
          </w:tcPr>
          <w:p/>
        </w:tc>
        <w:tc>
          <w:tcPr>
            <w:tcW w:type="dxa" w:w="2592"/>
            <w:tcMar>
              <w:top w:w="700" w:type="dxa"/>
              <w:bottom w:w="700" w:type="dxa"/>
              <w:left w:w="140" w:type="dxa"/>
              <w:right w:w="140" w:type="dxa"/>
            </w:tcMar>
            <w:tcBorders>
              <w:top w:val="single" w:sz="4" w:space="0" w:color="D1D8E0"/>
              <w:left w:val="single" w:sz="4" w:space="0" w:color="D1D8E0"/>
              <w:bottom w:val="single" w:sz="4" w:space="0" w:color="D1D8E0"/>
              <w:right w:val="single" w:sz="4" w:space="0" w:color="D1D8E0"/>
            </w:tcBorders>
          </w:tcPr>
          <w:p/>
        </w:tc>
        <w:tc>
          <w:tcPr>
            <w:tcW w:type="dxa" w:w="2304"/>
            <w:tcMar>
              <w:top w:w="700" w:type="dxa"/>
              <w:bottom w:w="700" w:type="dxa"/>
              <w:left w:w="140" w:type="dxa"/>
              <w:right w:w="140" w:type="dxa"/>
            </w:tcMar>
            <w:tcBorders>
              <w:top w:val="single" w:sz="4" w:space="0" w:color="D1D8E0"/>
              <w:left w:val="single" w:sz="4" w:space="0" w:color="D1D8E0"/>
              <w:bottom w:val="single" w:sz="4" w:space="0" w:color="D1D8E0"/>
              <w:right w:val="single" w:sz="4" w:space="0" w:color="D1D8E0"/>
            </w:tcBorders>
          </w:tcPr>
          <w:p/>
        </w:tc>
        <w:tc>
          <w:tcPr>
            <w:tcW w:type="dxa" w:w="2304"/>
            <w:tcMar>
              <w:top w:w="700" w:type="dxa"/>
              <w:bottom w:w="700" w:type="dxa"/>
              <w:left w:w="140" w:type="dxa"/>
              <w:right w:w="140" w:type="dxa"/>
            </w:tcMar>
            <w:tcBorders>
              <w:top w:val="single" w:sz="4" w:space="0" w:color="D1D8E0"/>
              <w:left w:val="single" w:sz="4" w:space="0" w:color="D1D8E0"/>
              <w:bottom w:val="single" w:sz="4" w:space="0" w:color="D1D8E0"/>
              <w:right w:val="single" w:sz="4" w:space="0" w:color="D1D8E0"/>
            </w:tcBorders>
          </w:tcPr>
          <w:p/>
        </w:tc>
      </w:tr>
      <w:tr>
        <w:tc>
          <w:tcPr>
            <w:tcW w:type="dxa" w:w="3600"/>
            <w:tcMar>
              <w:top w:w="700" w:type="dxa"/>
              <w:bottom w:w="700" w:type="dxa"/>
              <w:left w:w="140" w:type="dxa"/>
              <w:right w:w="140" w:type="dxa"/>
            </w:tcMar>
            <w:tcBorders>
              <w:top w:val="single" w:sz="4" w:space="0" w:color="D1D8E0"/>
              <w:left w:val="single" w:sz="4" w:space="0" w:color="D1D8E0"/>
              <w:bottom w:val="single" w:sz="4" w:space="0" w:color="D1D8E0"/>
              <w:right w:val="single" w:sz="4" w:space="0" w:color="D1D8E0"/>
            </w:tcBorders>
            <w:shd w:val="clear" w:color="auto" w:fill="F4F7F9"/>
          </w:tcPr>
          <w:p>
            <w:r>
              <w:rPr>
                <w:b/>
                <w:color w:val="1F3A56"/>
              </w:rPr>
              <w:t xml:space="preserve">2. </w:t>
            </w:r>
          </w:p>
        </w:tc>
        <w:tc>
          <w:tcPr>
            <w:tcW w:type="dxa" w:w="3888"/>
            <w:tcMar>
              <w:top w:w="700" w:type="dxa"/>
              <w:bottom w:w="700" w:type="dxa"/>
              <w:left w:w="140" w:type="dxa"/>
              <w:right w:w="140" w:type="dxa"/>
            </w:tcMar>
            <w:tcBorders>
              <w:top w:val="single" w:sz="4" w:space="0" w:color="D1D8E0"/>
              <w:left w:val="single" w:sz="4" w:space="0" w:color="D1D8E0"/>
              <w:bottom w:val="single" w:sz="4" w:space="0" w:color="D1D8E0"/>
              <w:right w:val="single" w:sz="4" w:space="0" w:color="D1D8E0"/>
            </w:tcBorders>
            <w:shd w:val="clear" w:color="auto" w:fill="F4F7F9"/>
          </w:tcPr>
          <w:p/>
        </w:tc>
        <w:tc>
          <w:tcPr>
            <w:tcW w:type="dxa" w:w="2592"/>
            <w:tcMar>
              <w:top w:w="700" w:type="dxa"/>
              <w:bottom w:w="700" w:type="dxa"/>
              <w:left w:w="140" w:type="dxa"/>
              <w:right w:w="140" w:type="dxa"/>
            </w:tcMar>
            <w:tcBorders>
              <w:top w:val="single" w:sz="4" w:space="0" w:color="D1D8E0"/>
              <w:left w:val="single" w:sz="4" w:space="0" w:color="D1D8E0"/>
              <w:bottom w:val="single" w:sz="4" w:space="0" w:color="D1D8E0"/>
              <w:right w:val="single" w:sz="4" w:space="0" w:color="D1D8E0"/>
            </w:tcBorders>
            <w:shd w:val="clear" w:color="auto" w:fill="F4F7F9"/>
          </w:tcPr>
          <w:p/>
        </w:tc>
        <w:tc>
          <w:tcPr>
            <w:tcW w:type="dxa" w:w="2304"/>
            <w:tcMar>
              <w:top w:w="700" w:type="dxa"/>
              <w:bottom w:w="700" w:type="dxa"/>
              <w:left w:w="140" w:type="dxa"/>
              <w:right w:w="140" w:type="dxa"/>
            </w:tcMar>
            <w:tcBorders>
              <w:top w:val="single" w:sz="4" w:space="0" w:color="D1D8E0"/>
              <w:left w:val="single" w:sz="4" w:space="0" w:color="D1D8E0"/>
              <w:bottom w:val="single" w:sz="4" w:space="0" w:color="D1D8E0"/>
              <w:right w:val="single" w:sz="4" w:space="0" w:color="D1D8E0"/>
            </w:tcBorders>
            <w:shd w:val="clear" w:color="auto" w:fill="F4F7F9"/>
          </w:tcPr>
          <w:p/>
        </w:tc>
        <w:tc>
          <w:tcPr>
            <w:tcW w:type="dxa" w:w="2304"/>
            <w:tcMar>
              <w:top w:w="700" w:type="dxa"/>
              <w:bottom w:w="700" w:type="dxa"/>
              <w:left w:w="140" w:type="dxa"/>
              <w:right w:w="140" w:type="dxa"/>
            </w:tcMar>
            <w:tcBorders>
              <w:top w:val="single" w:sz="4" w:space="0" w:color="D1D8E0"/>
              <w:left w:val="single" w:sz="4" w:space="0" w:color="D1D8E0"/>
              <w:bottom w:val="single" w:sz="4" w:space="0" w:color="D1D8E0"/>
              <w:right w:val="single" w:sz="4" w:space="0" w:color="D1D8E0"/>
            </w:tcBorders>
            <w:shd w:val="clear" w:color="auto" w:fill="F4F7F9"/>
          </w:tcPr>
          <w:p/>
        </w:tc>
      </w:tr>
      <w:tr>
        <w:tc>
          <w:tcPr>
            <w:tcW w:type="dxa" w:w="3600"/>
            <w:tcMar>
              <w:top w:w="700" w:type="dxa"/>
              <w:bottom w:w="700" w:type="dxa"/>
              <w:left w:w="140" w:type="dxa"/>
              <w:right w:w="140" w:type="dxa"/>
            </w:tcMar>
            <w:tcBorders>
              <w:top w:val="single" w:sz="4" w:space="0" w:color="D1D8E0"/>
              <w:left w:val="single" w:sz="4" w:space="0" w:color="D1D8E0"/>
              <w:bottom w:val="single" w:sz="4" w:space="0" w:color="D1D8E0"/>
              <w:right w:val="single" w:sz="4" w:space="0" w:color="D1D8E0"/>
            </w:tcBorders>
          </w:tcPr>
          <w:p>
            <w:r>
              <w:rPr>
                <w:b/>
                <w:color w:val="1F3A56"/>
              </w:rPr>
              <w:t xml:space="preserve">3. </w:t>
            </w:r>
          </w:p>
        </w:tc>
        <w:tc>
          <w:tcPr>
            <w:tcW w:type="dxa" w:w="3888"/>
            <w:tcMar>
              <w:top w:w="700" w:type="dxa"/>
              <w:bottom w:w="700" w:type="dxa"/>
              <w:left w:w="140" w:type="dxa"/>
              <w:right w:w="140" w:type="dxa"/>
            </w:tcMar>
            <w:tcBorders>
              <w:top w:val="single" w:sz="4" w:space="0" w:color="D1D8E0"/>
              <w:left w:val="single" w:sz="4" w:space="0" w:color="D1D8E0"/>
              <w:bottom w:val="single" w:sz="4" w:space="0" w:color="D1D8E0"/>
              <w:right w:val="single" w:sz="4" w:space="0" w:color="D1D8E0"/>
            </w:tcBorders>
          </w:tcPr>
          <w:p/>
        </w:tc>
        <w:tc>
          <w:tcPr>
            <w:tcW w:type="dxa" w:w="2592"/>
            <w:tcMar>
              <w:top w:w="700" w:type="dxa"/>
              <w:bottom w:w="700" w:type="dxa"/>
              <w:left w:w="140" w:type="dxa"/>
              <w:right w:w="140" w:type="dxa"/>
            </w:tcMar>
            <w:tcBorders>
              <w:top w:val="single" w:sz="4" w:space="0" w:color="D1D8E0"/>
              <w:left w:val="single" w:sz="4" w:space="0" w:color="D1D8E0"/>
              <w:bottom w:val="single" w:sz="4" w:space="0" w:color="D1D8E0"/>
              <w:right w:val="single" w:sz="4" w:space="0" w:color="D1D8E0"/>
            </w:tcBorders>
          </w:tcPr>
          <w:p/>
        </w:tc>
        <w:tc>
          <w:tcPr>
            <w:tcW w:type="dxa" w:w="2304"/>
            <w:tcMar>
              <w:top w:w="700" w:type="dxa"/>
              <w:bottom w:w="700" w:type="dxa"/>
              <w:left w:w="140" w:type="dxa"/>
              <w:right w:w="140" w:type="dxa"/>
            </w:tcMar>
            <w:tcBorders>
              <w:top w:val="single" w:sz="4" w:space="0" w:color="D1D8E0"/>
              <w:left w:val="single" w:sz="4" w:space="0" w:color="D1D8E0"/>
              <w:bottom w:val="single" w:sz="4" w:space="0" w:color="D1D8E0"/>
              <w:right w:val="single" w:sz="4" w:space="0" w:color="D1D8E0"/>
            </w:tcBorders>
          </w:tcPr>
          <w:p/>
        </w:tc>
        <w:tc>
          <w:tcPr>
            <w:tcW w:type="dxa" w:w="2304"/>
            <w:tcMar>
              <w:top w:w="700" w:type="dxa"/>
              <w:bottom w:w="700" w:type="dxa"/>
              <w:left w:w="140" w:type="dxa"/>
              <w:right w:w="140" w:type="dxa"/>
            </w:tcMar>
            <w:tcBorders>
              <w:top w:val="single" w:sz="4" w:space="0" w:color="D1D8E0"/>
              <w:left w:val="single" w:sz="4" w:space="0" w:color="D1D8E0"/>
              <w:bottom w:val="single" w:sz="4" w:space="0" w:color="D1D8E0"/>
              <w:right w:val="single" w:sz="4" w:space="0" w:color="D1D8E0"/>
            </w:tcBorders>
          </w:tcPr>
          <w:p/>
        </w:tc>
      </w:tr>
    </w:tbl>
    <w:p>
      <w:pPr>
        <w:sectPr>
          <w:footerReference w:type="default" r:id="rId9"/>
          <w:pgSz w:w="16834" w:h="11909" w:orient="landscape"/>
          <w:pgMar w:top="1008" w:right="1008" w:bottom="1008" w:left="1008" w:header="720" w:footer="720" w:gutter="0"/>
          <w:cols w:space="720"/>
          <w:docGrid w:linePitch="360"/>
        </w:sectPr>
      </w:pPr>
    </w:p>
    <w:p>
      <w:pPr>
        <w:spacing w:before="240" w:after="280"/>
      </w:pPr>
      <w:r>
        <w:rPr>
          <w:b/>
          <w:color w:val="1F3A56"/>
          <w:sz w:val="32"/>
        </w:rPr>
        <w:t>Методические указания и практическое руководство</w:t>
      </w:r>
    </w:p>
    <w:p>
      <w:pPr>
        <w:spacing w:before="160" w:after="80"/>
      </w:pPr>
      <w:r>
        <w:rPr>
          <w:b/>
          <w:color w:val="1F3A56"/>
          <w:sz w:val="25"/>
        </w:rPr>
        <w:t>1. Квалификация Ситуаций-Триггеров</w:t>
      </w:r>
    </w:p>
    <w:p>
      <w:pPr>
        <w:spacing w:after="120"/>
      </w:pPr>
      <w:r>
        <w:t>Каждая запись начинается со строгого фиксирования триггера. Триггеры делятся на две основные категории:</w:t>
      </w:r>
    </w:p>
    <w:p>
      <w:pPr>
        <w:pStyle w:val="ListBullet"/>
        <w:spacing w:after="60"/>
      </w:pPr>
      <w:r>
        <w:rPr>
          <w:b/>
        </w:rPr>
        <w:t xml:space="preserve">Внешние триггеры: </w:t>
      </w:r>
      <w:r>
        <w:t>Объективные факты реальности, зарегистрированные органами чувств (физическое действие, визуальный стимул, услышанные слова, запахи или завершенные действия).</w:t>
      </w:r>
    </w:p>
    <w:p>
      <w:pPr>
        <w:pStyle w:val="ListBullet"/>
        <w:spacing w:after="240"/>
      </w:pPr>
      <w:r>
        <w:rPr>
          <w:b/>
        </w:rPr>
        <w:t xml:space="preserve">Внутренние триггеры: </w:t>
      </w:r>
      <w:r>
        <w:t>Субъективные феномены сознания или организма (внезапная мысль, ментальный образ, воспоминание, первичная эмоция или физиологический сбой вроде спазма или слабости).</w:t>
      </w:r>
    </w:p>
    <w:p>
      <w:pPr>
        <w:spacing w:before="200" w:after="80"/>
      </w:pPr>
      <w:r>
        <w:rPr>
          <w:b/>
          <w:color w:val="1F3A56"/>
          <w:sz w:val="25"/>
        </w:rPr>
        <w:t>2. Практический пример: Циклическая модель у Салли</w:t>
      </w:r>
    </w:p>
    <w:p>
      <w:pPr>
        <w:spacing w:after="160"/>
      </w:pPr>
      <w:r>
        <w:t>Ниже приведена пошаговая цепочка формирования психологического зацикливания, наглядно демонстрирующая взаимосвязь мыслей и физиологии:</w:t>
      </w:r>
    </w:p>
    <w:p>
      <w:pPr>
        <w:spacing w:after="50"/>
        <w:ind w:left="360"/>
      </w:pPr>
      <w:r>
        <w:rPr>
          <w:b/>
          <w:color w:val="5A6B7C"/>
          <w:sz w:val="19"/>
        </w:rPr>
        <w:t xml:space="preserve">• Исходная точка (Физиологический триггер): </w:t>
      </w:r>
      <w:r>
        <w:rPr>
          <w:sz w:val="19"/>
        </w:rPr>
        <w:t>Салли ощущает сильную усталость сразу после пробуждения.</w:t>
      </w:r>
    </w:p>
    <w:p>
      <w:pPr>
        <w:spacing w:after="50"/>
        <w:ind w:left="360"/>
      </w:pPr>
      <w:r>
        <w:rPr>
          <w:b/>
          <w:color w:val="5A6B7C"/>
          <w:sz w:val="19"/>
        </w:rPr>
        <w:t xml:space="preserve">• Автоматическая мысль (АМ-1): </w:t>
      </w:r>
      <w:r>
        <w:rPr>
          <w:sz w:val="19"/>
        </w:rPr>
        <w:t>«Я чересчур утомлена, чтобы встать. Вылезать из-под теплого одеяла не имеет смысла. Нет сил идти на учебу или продуктивно заниматься дома».</w:t>
      </w:r>
    </w:p>
    <w:p>
      <w:pPr>
        <w:spacing w:after="50"/>
        <w:ind w:left="360"/>
      </w:pPr>
      <w:r>
        <w:rPr>
          <w:b/>
          <w:color w:val="5A6B7C"/>
          <w:sz w:val="19"/>
        </w:rPr>
        <w:t xml:space="preserve">• Эмоциональный ответ: </w:t>
      </w:r>
      <w:r>
        <w:rPr>
          <w:sz w:val="19"/>
        </w:rPr>
        <w:t>Выраженное чувство грусти.</w:t>
      </w:r>
    </w:p>
    <w:p>
      <w:pPr>
        <w:spacing w:after="50"/>
        <w:ind w:left="360"/>
      </w:pPr>
      <w:r>
        <w:rPr>
          <w:b/>
          <w:color w:val="5A6B7C"/>
          <w:sz w:val="19"/>
        </w:rPr>
        <w:t xml:space="preserve">• Телесная реакция: </w:t>
      </w:r>
      <w:r>
        <w:rPr>
          <w:sz w:val="19"/>
        </w:rPr>
        <w:t>Ощущение тяжести, сковывающей все тело.</w:t>
      </w:r>
    </w:p>
    <w:p>
      <w:pPr>
        <w:spacing w:after="50"/>
        <w:ind w:left="360"/>
      </w:pPr>
      <w:r>
        <w:rPr>
          <w:b/>
          <w:color w:val="5A6B7C"/>
          <w:sz w:val="19"/>
        </w:rPr>
        <w:t xml:space="preserve">• Вторичные АМ (на фоне физического дискомфорта): </w:t>
      </w:r>
      <w:r>
        <w:rPr>
          <w:sz w:val="19"/>
        </w:rPr>
        <w:t>«Вдруг преподаватель устроит проверочный тест? Что если мне откажут в пересдаче? Это фатально разрушит мою итоговую оценку» + возникает яркий мысленный образ плохой оценки в журнале.</w:t>
      </w:r>
    </w:p>
    <w:p>
      <w:pPr>
        <w:spacing w:after="50"/>
        <w:ind w:left="360"/>
      </w:pPr>
      <w:r>
        <w:rPr>
          <w:b/>
          <w:color w:val="5A6B7C"/>
          <w:sz w:val="19"/>
        </w:rPr>
        <w:t xml:space="preserve">• Эмоциональный ответ №2: </w:t>
      </w:r>
      <w:r>
        <w:rPr>
          <w:sz w:val="19"/>
        </w:rPr>
        <w:t>Резкий всплеск тревоги.</w:t>
      </w:r>
    </w:p>
    <w:p>
      <w:pPr>
        <w:spacing w:after="50"/>
        <w:ind w:left="360"/>
      </w:pPr>
      <w:r>
        <w:rPr>
          <w:b/>
          <w:color w:val="5A6B7C"/>
          <w:sz w:val="19"/>
        </w:rPr>
        <w:t xml:space="preserve">• Телесная реакция №2: </w:t>
      </w:r>
      <w:r>
        <w:rPr>
          <w:sz w:val="19"/>
        </w:rPr>
        <w:t>Сердцебиение сильно учащается.</w:t>
      </w:r>
    </w:p>
    <w:p>
      <w:pPr>
        <w:spacing w:after="50"/>
        <w:ind w:left="360"/>
      </w:pPr>
      <w:r>
        <w:rPr>
          <w:b/>
          <w:color w:val="5A6B7C"/>
          <w:sz w:val="19"/>
        </w:rPr>
        <w:t xml:space="preserve">• Новый виток (Внутренний триггер): </w:t>
      </w:r>
      <w:r>
        <w:rPr>
          <w:sz w:val="19"/>
        </w:rPr>
        <w:t>Салли фокусируется на возникшей тахикардии.</w:t>
      </w:r>
    </w:p>
    <w:p>
      <w:pPr>
        <w:spacing w:after="50"/>
        <w:ind w:left="360"/>
      </w:pPr>
      <w:r>
        <w:rPr>
          <w:b/>
          <w:color w:val="5A6B7C"/>
          <w:sz w:val="19"/>
        </w:rPr>
        <w:t xml:space="preserve">• АМ третьей волны: </w:t>
      </w:r>
      <w:r>
        <w:rPr>
          <w:sz w:val="19"/>
        </w:rPr>
        <w:t>«Мое сердце колотится так бешено. Со мной точно происходит что-то неладное».</w:t>
      </w:r>
    </w:p>
    <w:p>
      <w:pPr>
        <w:spacing w:after="50"/>
        <w:ind w:left="360"/>
      </w:pPr>
      <w:r>
        <w:rPr>
          <w:b/>
          <w:color w:val="5A6B7C"/>
          <w:sz w:val="19"/>
        </w:rPr>
        <w:t xml:space="preserve">• Усиление аффекта: </w:t>
      </w:r>
      <w:r>
        <w:rPr>
          <w:sz w:val="19"/>
        </w:rPr>
        <w:t>Прогрессирующий рост интенсивности тревоги.</w:t>
      </w:r>
    </w:p>
    <w:p>
      <w:pPr>
        <w:spacing w:after="50"/>
        <w:ind w:left="360"/>
      </w:pPr>
      <w:r>
        <w:rPr>
          <w:b/>
          <w:color w:val="5A6B7C"/>
          <w:sz w:val="19"/>
        </w:rPr>
        <w:t xml:space="preserve">• Телесная реакция №3: </w:t>
      </w:r>
      <w:r>
        <w:rPr>
          <w:sz w:val="19"/>
        </w:rPr>
        <w:t>Мышечное напряжение во всем организме, фиксация на частом пульсе.</w:t>
      </w:r>
    </w:p>
    <w:p>
      <w:pPr>
        <w:spacing w:after="50"/>
        <w:ind w:left="360"/>
      </w:pPr>
      <w:r>
        <w:rPr>
          <w:b/>
          <w:color w:val="5A6B7C"/>
          <w:sz w:val="19"/>
        </w:rPr>
        <w:t xml:space="preserve">• АМ-решение (Защитная концепция): </w:t>
      </w:r>
      <w:r>
        <w:rPr>
          <w:sz w:val="19"/>
        </w:rPr>
        <w:t>«Самое лучшее и безопасное решение сегодня — просто остаться в кровати».</w:t>
      </w:r>
    </w:p>
    <w:p>
      <w:pPr>
        <w:spacing w:after="50"/>
        <w:ind w:left="360"/>
      </w:pPr>
      <w:r>
        <w:rPr>
          <w:b/>
          <w:color w:val="5A6B7C"/>
          <w:sz w:val="19"/>
        </w:rPr>
        <w:t xml:space="preserve">• Смена эмоционального фона: </w:t>
      </w:r>
      <w:r>
        <w:rPr>
          <w:sz w:val="19"/>
        </w:rPr>
        <w:t>Долгожданное облегчение.</w:t>
      </w:r>
    </w:p>
    <w:p>
      <w:pPr>
        <w:spacing w:after="50"/>
        <w:ind w:left="360"/>
      </w:pPr>
      <w:r>
        <w:rPr>
          <w:b/>
          <w:color w:val="5A6B7C"/>
          <w:sz w:val="19"/>
        </w:rPr>
        <w:t xml:space="preserve">• Физиологический спад: </w:t>
      </w:r>
      <w:r>
        <w:rPr>
          <w:sz w:val="19"/>
        </w:rPr>
        <w:t>Постепенное снижение мышечного напряжения и нормализация пульса.</w:t>
      </w:r>
    </w:p>
    <w:p>
      <w:pPr>
        <w:spacing w:after="50"/>
        <w:ind w:left="360"/>
      </w:pPr>
      <w:r>
        <w:rPr>
          <w:b/>
          <w:color w:val="5A6B7C"/>
          <w:sz w:val="19"/>
        </w:rPr>
        <w:t xml:space="preserve">• Поведенческий акт (Итог): </w:t>
      </w:r>
      <w:r>
        <w:rPr>
          <w:sz w:val="19"/>
        </w:rPr>
        <w:t>Салли принимает решение остаться дома в постели.</w:t>
      </w:r>
    </w:p>
    <w:p>
      <w:pPr>
        <w:spacing w:before="200"/>
      </w:pPr>
      <w:r>
        <w:rPr>
          <w:b/>
        </w:rPr>
        <w:t xml:space="preserve">Анатомия деструктивного паттерна: </w:t>
      </w:r>
      <w:r>
        <w:t>В результате Салли все же поднялась, но пришла на занятие с критическим опозданием на 20 минут. Это мгновенно вызвало лавину новых автоматических мыслей о пропущенном материале. Дневник СМЭР позволяет зафиксировать эти цепочки на ранних стадиях и прервать порочный круг.</w:t>
      </w:r>
    </w:p>
    <w:sectPr w:rsidR="00FC693F" w:rsidRPr="0006063C" w:rsidSect="00034616">
      <w:pgSz w:w="11909" w:h="16834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i/>
        <w:color w:val="5A6B7C"/>
        <w:sz w:val="18"/>
      </w:rPr>
      <w:t>Интеллектуальная автоматизация на smer-ai.ru</w:t>
    </w:r>
    <w:r>
      <w:rPr>
        <w:i/>
        <w:color w:val="5A6B7C"/>
        <w:sz w:val="18"/>
      </w:rPr>
      <w:t>Методические материалы подготовлены для smer-ai.ru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82C34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